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B" w:rsidRDefault="002D3BEB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Look w:val="0000"/>
      </w:tblPr>
      <w:tblGrid>
        <w:gridCol w:w="341"/>
        <w:gridCol w:w="2743"/>
        <w:gridCol w:w="2114"/>
        <w:gridCol w:w="1158"/>
        <w:gridCol w:w="300"/>
        <w:gridCol w:w="2979"/>
      </w:tblGrid>
      <w:tr w:rsidR="002D3BEB">
        <w:trPr>
          <w:trHeight w:val="819"/>
        </w:trPr>
        <w:tc>
          <w:tcPr>
            <w:tcW w:w="4673" w:type="dxa"/>
            <w:gridSpan w:val="3"/>
            <w:shd w:val="clear" w:color="auto" w:fill="auto"/>
          </w:tcPr>
          <w:p w:rsidR="002D3BEB" w:rsidRDefault="0012179C">
            <w:pP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79" t="-515" r="-179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  <w:gridSpan w:val="2"/>
            <w:shd w:val="clear" w:color="auto" w:fill="auto"/>
          </w:tcPr>
          <w:p w:rsidR="002D3BEB" w:rsidRDefault="002D3BEB">
            <w:pP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2D3BEB" w:rsidRDefault="0012179C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85" t="-260" r="-285" b="-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EB" w:rsidRDefault="002D3BEB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2D3BEB" w:rsidRDefault="0012179C">
            <w:pP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3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72" t="-300" r="-51" b="-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BEB">
        <w:tc>
          <w:tcPr>
            <w:tcW w:w="158" w:type="dxa"/>
            <w:shd w:val="clear" w:color="auto" w:fill="auto"/>
          </w:tcPr>
          <w:p w:rsidR="002D3BEB" w:rsidRDefault="002D3BEB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6" w:type="dxa"/>
            <w:gridSpan w:val="5"/>
            <w:shd w:val="clear" w:color="auto" w:fill="auto"/>
          </w:tcPr>
          <w:p w:rsidR="002D3BEB" w:rsidRDefault="0012179C">
            <w:pP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2D3BEB">
        <w:tc>
          <w:tcPr>
            <w:tcW w:w="158" w:type="dxa"/>
            <w:shd w:val="clear" w:color="auto" w:fill="auto"/>
          </w:tcPr>
          <w:p w:rsidR="002D3BEB" w:rsidRDefault="002D3BEB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2D3BEB" w:rsidRDefault="0012179C">
            <w:pP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6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2D3BEB" w:rsidRDefault="001217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489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2D3BEB" w:rsidRDefault="0012179C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2D3BEB" w:rsidRDefault="002D3BEB"/>
    <w:p w:rsidR="002D3BEB" w:rsidRDefault="00657199">
      <w:pPr>
        <w:tabs>
          <w:tab w:val="center" w:pos="4819"/>
          <w:tab w:val="right" w:pos="9638"/>
        </w:tabs>
        <w:jc w:val="center"/>
      </w:pPr>
      <w:bookmarkStart w:id="0" w:name="_heading=h.gjdgxs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RELAZIONE FINALE</w:t>
      </w:r>
      <w:r w:rsidR="0012179C">
        <w:rPr>
          <w:rFonts w:ascii="Arial" w:eastAsia="Arial" w:hAnsi="Arial" w:cs="Arial"/>
          <w:b/>
          <w:color w:val="000000"/>
          <w:sz w:val="28"/>
          <w:szCs w:val="28"/>
        </w:rPr>
        <w:t xml:space="preserve"> DEL DOCENTE A.S. 20</w:t>
      </w:r>
      <w:r w:rsidR="0012179C">
        <w:rPr>
          <w:rFonts w:ascii="Arial" w:eastAsia="Arial" w:hAnsi="Arial" w:cs="Arial"/>
          <w:b/>
          <w:sz w:val="28"/>
          <w:szCs w:val="28"/>
        </w:rPr>
        <w:t>2</w:t>
      </w:r>
      <w:r w:rsidR="00296A82">
        <w:rPr>
          <w:rFonts w:ascii="Arial" w:eastAsia="Arial" w:hAnsi="Arial" w:cs="Arial"/>
          <w:b/>
          <w:sz w:val="28"/>
          <w:szCs w:val="28"/>
        </w:rPr>
        <w:t>3</w:t>
      </w:r>
      <w:r w:rsidR="0012179C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296A82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:rsidR="002D3BEB" w:rsidRDefault="002D3BEB">
      <w:pP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780"/>
        <w:gridCol w:w="5009"/>
        <w:gridCol w:w="2702"/>
      </w:tblGrid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864" w:hanging="864"/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 Grazia Rossini</w:t>
            </w: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insegnata: Matematica</w:t>
            </w: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Libro/i di testo in uso: Zanone-Accomazzo-Sasso  “Matematica allo specchio </w:t>
            </w:r>
            <w:r w:rsidR="00296A82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” Edizione Verde DEA Scuola</w:t>
            </w:r>
          </w:p>
          <w:p w:rsidR="002D3BEB" w:rsidRDefault="002D3BEB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D3BEB"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:rsidR="002D3BEB" w:rsidRDefault="00296A82" w:rsidP="008E17CE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2</w:t>
            </w:r>
            <w:r w:rsidR="0012179C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</w:t>
            </w:r>
            <w:r w:rsidR="008E17CE">
              <w:rPr>
                <w:rFonts w:ascii="Calibri" w:eastAsia="Calibri" w:hAnsi="Calibr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</w:t>
            </w:r>
          </w:p>
          <w:p w:rsidR="002D3BEB" w:rsidRDefault="0012179C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Chimica dei Materiali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:rsidR="002D3BEB" w:rsidRDefault="0012179C" w:rsidP="008E17CE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2</w:t>
            </w:r>
            <w:r w:rsidR="008E17CE">
              <w:rPr>
                <w:rFonts w:ascii="Calibri" w:eastAsia="Calibri" w:hAnsi="Calibri"/>
                <w:b/>
                <w:bCs/>
                <w:sz w:val="24"/>
                <w:szCs w:val="24"/>
              </w:rPr>
              <w:t>3</w:t>
            </w: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Obiettivi trasversali indicati nel documento di programmazione di classe e individuati dal dipartimento </w:t>
            </w:r>
          </w:p>
          <w:p w:rsidR="002D3BEB" w:rsidRDefault="0012179C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Per incentivare le capacità linguistiche trasversali degli alunni, sono state individuate le seguenti strategie:</w:t>
            </w:r>
          </w:p>
          <w:p w:rsidR="002D3BEB" w:rsidRDefault="0012179C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-Approfondire la comprensione del testo dei problemi scomponendoli in frasi semplici;</w:t>
            </w:r>
          </w:p>
          <w:p w:rsidR="002D3BEB" w:rsidRDefault="0012179C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-Evidenziare durante la lezione i processi e i metodi induttivi e deduttivi;</w:t>
            </w:r>
          </w:p>
          <w:p w:rsidR="002D3BEB" w:rsidRDefault="0012179C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-Spiegare il significato etimologico di termini e parole che i ragazzi incontrano</w:t>
            </w:r>
          </w:p>
          <w:p w:rsidR="002D3BEB" w:rsidRDefault="0012179C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-Incoraggiare la ricerca delle parole non comprese</w:t>
            </w:r>
          </w:p>
          <w:p w:rsidR="002D3BEB" w:rsidRDefault="002D3BEB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D3BEB" w:rsidRDefault="0012179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Sono stati individuati obiettivi educativi comuni che riguardano le competenze chiave di cittadinanza, articolati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>secondo i tre indicatori: “costruzione del sé”; “relazioni con gli altri” e “rapporto con la realtà naturale e sociale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it-IT"/>
              </w:rPr>
              <w:t>”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.  </w:t>
            </w:r>
          </w:p>
          <w:p w:rsidR="002D3BEB" w:rsidRDefault="0012179C">
            <w:pPr>
              <w:spacing w:after="21" w:line="247" w:lineRule="auto"/>
              <w:ind w:left="10" w:right="2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Nell’ambito più propriamente scolastico si tenderà a migliorare: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partecipazione attiva durante le lezioni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il dialogo costruttivo da parte di ciascuno con l'insegnante e con i compagni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il rispetto delle regole della convivenza scolastica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disponibilità all'ascolto e al rispetto reciproco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riconoscere situazioni di disagio dei compagni 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comprendere le modalità di comportamento dei compagni in base alla situazione di eventuale disagio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autocontrollo del proprio comportamento verso i compagni confrontando le diversità 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Competenze ed Obiettivi cognitivi</w:t>
            </w:r>
          </w:p>
          <w:p w:rsidR="002D3BEB" w:rsidRDefault="0012179C">
            <w:pPr>
              <w:spacing w:after="21" w:line="247" w:lineRule="auto"/>
              <w:ind w:left="10" w:right="2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Gli obiettivi trasversali vengono individuati come segue: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ad organizzare e gestire il proprio apprendimento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ad utilizzare un proprio metodo di studio e di lavoro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scrivere ed esporre con frasi compiute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comprendere e rappresentare testi e messaggi di genere e di complessità diversi, formulati con linguaggi e supporti diversi. </w:t>
            </w:r>
          </w:p>
          <w:p w:rsidR="002D3BEB" w:rsidRDefault="0012179C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lavorare, interagire con gli altri in precise e specifiche attività collettive. </w:t>
            </w:r>
          </w:p>
          <w:p w:rsidR="002D3BEB" w:rsidRDefault="002D3BEB">
            <w:pPr>
              <w:spacing w:line="276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3BEB" w:rsidRDefault="002D3BEB">
            <w:pPr>
              <w:spacing w:line="276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2D3BE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2D3BEB">
            <w:pPr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2D3BEB" w:rsidRDefault="0012179C">
            <w:pPr>
              <w:ind w:left="360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u w:val="single"/>
              </w:rPr>
              <w:lastRenderedPageBreak/>
              <w:t>Competenze ed Obiettivi cognitivi in relazione alle competenze U.E per l’apprendimento permanente</w:t>
            </w:r>
          </w:p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insideH w:val="single" w:sz="8" w:space="0" w:color="000001"/>
              </w:tblBorders>
              <w:tblCellMar>
                <w:top w:w="28" w:type="dxa"/>
                <w:left w:w="78" w:type="dxa"/>
                <w:bottom w:w="28" w:type="dxa"/>
              </w:tblCellMar>
              <w:tblLook w:val="0000"/>
            </w:tblPr>
            <w:tblGrid>
              <w:gridCol w:w="2849"/>
              <w:gridCol w:w="3302"/>
              <w:gridCol w:w="4109"/>
            </w:tblGrid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COMPETENZE CHIAVE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OBIETTIVI EDUCATIVI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OBIETTIVI COGNITIVI</w:t>
                  </w: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PERSONALE, SOCIALE E CAPACITÀ DI IMPARARE AD IMPARARE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impegnarsi a migliorare</w:t>
                  </w:r>
                </w:p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partecipare responsabilmente alle attività scolastiche</w:t>
                  </w:r>
                </w:p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mostrare autocontrollo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5000" w:type="pct"/>
                    <w:tblLook w:val="0000"/>
                  </w:tblPr>
                  <w:tblGrid>
                    <w:gridCol w:w="3923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48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Possiede un patrimonio organico di conoscenze e nozioni di base ed è allo stesso tempo capace di ricercare e di organizzare nuove informazioni. Si impegna in nuovi apprendimenti in modo autonomo.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ALFABETICA FUNZIONALE E COMPETENZA MULTILINGUISTICA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saper rispettare i tempi e curare la forma della conversazione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una padronanza della lingua italiana tale da consentirgli di comprendere e produrre enunciati e testi di una certa complessità, di esprimere le proprie idee, di adottare un registro linguistico appropriato alle diverse situazioni.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751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È in grado di esprimersi in lingua inglese a livello intermedio (livello B1 del Quadro Comune Europeo di Riferimento) [e, in una seconda lingua europea (livello A2 del Quadro Comune Europeo di Riferimento)], utilizza la lingua straniera per i principali scopi comunicativi, operativi e per produrre testi in relazione agli scopi comunicativi Utilizza la lingua inglese anche con le tecnologie dell'informazione e della comunicazione.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IN MATERIA DI CITTADINANZA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interagire in gruppo imparando ad accettare e a confrontarsi con la diversità e a gestire la eventuale conflittualità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486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cura e rispetto di sé e degli altri come presupposto di uno stile di vita sano e corretto. È consapevole della necessità del rispetto di una convivenza civile, pacifica e solidale. Si impegna per portare a compimento il lavoro iniziato, da solo o insieme ad altri.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IN MATERIA DI CONSAPEVOLEZZA ED ESPRESSIONE CULTURALI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618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Riconosce ed apprezza le diverse identità, le tradizioni culturali e religiose, in un'ottica di dialogo e di rispetto reciproco. Ricava informazioni fondamentali sul patrimonio artistico, ambientale e letterario con riferimento al proprio territorio. Controlla le modalità della comunicazione non verbale per migliorare l’efficacia delle relazioni interpersonali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COMPETENZA IMPRENDITORIALE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spirito di iniziativa ed è capace di produrre idee e progetti creativi. Si assume le proprie responsabilità, chiede aiuto quando si trova in difficoltà e sa fornire aiuto a chi lo chiede. È disposto ad analizzare se stesso e a misurarsi con le novità e gli imprevisti.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MATEMATICA E COMPETENZA IN SCIENZE, TECNOLOGIA E INGEGNERIA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Iniziare ad affrontare situazioni problematiche.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619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le sue conoscenze matematiche e scientifico-tecnologiche per analizzare dati e fatti della realtà e per verificare l'attendibilità di analisi quantitative proposte da altri. Utilizza il pensiero logico-scientifico per affrontare problemi e situazioni sulla base di elementi certi. Ha consapevolezza dei limiti delle affermazioni che riguardano questioni complesse. </w:t>
                        </w:r>
                      </w:p>
                    </w:tc>
                  </w:tr>
                </w:tbl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DIGITALE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con consapevolezza le tecnologie della comunicazione per ricercare le informazioni in modo critico. Usa con responsabilità le tecnologie per interagire con altre persone.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SENSO DI INIZIATIVA E IMPRENDITORIALITÀ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spirito di iniziativa ed è capace di produrre idee e progetti creativi. Si assume le proprie responsabilità, chiede aiuto quando si trova in difficoltà e sa fornire aiuto a chi lo chiede. È disposto ad analizzare se stesso e a misurarsi con le novità e gli imprevisti. </w:t>
                        </w:r>
                      </w:p>
                    </w:tc>
                  </w:tr>
                </w:tbl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BEB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MATEMATICO E COMPETENZE DI BASE IN CAMPO SCIENTIFICO E TECNOLOGICO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Iniziare ad affrontare situazioni problematiche.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2D3BEB" w:rsidRDefault="002D3BEB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2D3BEB">
                    <w:trPr>
                      <w:trHeight w:val="619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2D3BEB" w:rsidRDefault="0012179C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le sue conoscenze matematiche e scientifico-tecnologiche per analizzare dati e fatti della realtà e per verificare l'attendibilità di analisi quantitative proposte da altri. Utilizza il pensiero logico-scientifico per affrontare problemi e situazioni sulla base di elementi certi. Ha consapevolezza dei limiti delle affermazioni che riguardano questioni complesse. </w:t>
                        </w:r>
                      </w:p>
                    </w:tc>
                  </w:tr>
                </w:tbl>
                <w:p w:rsidR="002D3BEB" w:rsidRDefault="0012179C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:rsidR="002D3BEB" w:rsidRDefault="0012179C">
            <w:pPr>
              <w:ind w:left="360"/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 xml:space="preserve">In questo quadro di riferimento i principali traguardi riguardano lo sviluppo delle capacità di: organizzare in modo autonomo e responsabile il proprio lavoro; rapportarsi agli altri; rispettare gli impegni assunti e le consegne ricevute; comprensione del testo; esprimere le proprie conoscenze attraverso l'uso dei linguaggi e degli strumenti specifici della disciplina, usando cura nel descrivere e nel classificare, e utilizzando un linguaggio corretto e chiaro, sia nelle esposizioni orali che in quelle scritte; sistemare logicamente e collegare le conoscenze acquisite; rielaborare e generalizzare le conoscenze acquisite; affrontare situazioni problematiche di varia natura avvalendosi di modelli matematici e appropriate strategie risolutive; analizzare grafici e interpretarli sviluppando deduzioni e ragionamenti sugli stessi; utilizzare il linguaggio e i metodi propri della </w:t>
            </w:r>
            <w:r w:rsidR="00957D53" w:rsidRPr="00957D5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eastAsia="Calibri" w:hAnsi="Calibri"/>
                <w:sz w:val="22"/>
                <w:szCs w:val="22"/>
              </w:rPr>
              <w:instrText>KEYWORDS</w:instrText>
            </w:r>
            <w:r w:rsidR="00957D5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per organizzare e valutare adeguatamente informazioni qualitative e quantitative; utilizzare le strategie del pensiero razionale negli aspetti dialettici e algoritmici per affrontare situazioni problematiche, elaborando opportune soluzioni; utilizzare concetti e i modelli per investigare fenomeni sociali o naturali e per interpretare dati. </w:t>
            </w:r>
          </w:p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2D3BEB" w:rsidRDefault="002D3BEB">
            <w:p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4. Descrizione di conoscenze e abilità, suddivise in unità di apprendimento o didattiche, evidenziando per ognuna quelle essenziali o minime </w:t>
            </w:r>
          </w:p>
          <w:p w:rsidR="002D3BEB" w:rsidRDefault="002D3BE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di base a conclusione dell’obbligo dell’istruzione</w:t>
            </w:r>
            <w:r>
              <w:rPr>
                <w:rStyle w:val="Richiamoallanotaapidipagina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2"/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A] Utilizzare le tecniche e le procedure del calcolo aritmetico ed algebrico, rappresentandole anche sotto forma grafica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[B] Confrontare ed analizzare figure geometriche, individuando invarianti e relazioni.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[C] Individuare le strategie appropriate per la soluzione di problemi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[D]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[E] Competenze chiave di cittadinanza: 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imparare ad imparare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progettare 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comunicare 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collaborare e partecipare 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agire in modo autonomo e responsabile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risolvere problemi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individuare collegamenti e relazioni</w:t>
            </w:r>
          </w:p>
          <w:p w:rsidR="002D3BEB" w:rsidRDefault="0012179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acquisire e interpretare le informazioni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 sviluppare queste competenze, possiamo individuare sei grandi temi, ossia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Modulo 1: </w:t>
            </w:r>
            <w:r w:rsidR="008B57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scomposizione di polinomi in fattori primi; 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Modulo 2:</w:t>
            </w:r>
            <w:r w:rsidR="008B57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equazioni fratte e di grado superiore al primo</w:t>
            </w:r>
          </w:p>
          <w:p w:rsidR="007043CE" w:rsidRDefault="007043CE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Modulo 3: i radicali, numeri irrazionali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</w:t>
            </w:r>
            <w:r w:rsidR="007043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8B57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sistemi lineari e non lineari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Modulo </w:t>
            </w:r>
            <w:r w:rsidR="007043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: le </w:t>
            </w:r>
            <w:r w:rsidR="00556F3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equazioni 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disequazioni </w:t>
            </w:r>
            <w:r w:rsidR="008B57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di secondo grado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Modulo </w:t>
            </w:r>
            <w:r w:rsidR="007043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: </w:t>
            </w:r>
            <w:r w:rsidR="008B57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piano Cartesiano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Modulo </w:t>
            </w:r>
            <w:r w:rsidR="007043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 la geometria euclidea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Conoscenze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conoscere il simbolismo matematico; conoscere i contenuti programmatici relativi all’anno scolastico frequentato dettagliati nella scansione delle unità didattiche qui sotto (sono sottolineati quelli essenziali per essere ammessi alla classe successiva).</w:t>
            </w: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Abilità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essere in grado di operare con il simbolismo matematico; utilizzare le tecniche e strumenti di calcolo e gli strumenti informatici atti a supportare l’attività di studio; individuare le strategie appropriate per la soluzione di esercizi inerenti gli argomenti dettagliati nella scansione delle unità didattiche qui sotto (sono sottolineati quelli essenziali per essere ammessi alla classe successiva).</w:t>
            </w:r>
          </w:p>
          <w:p w:rsidR="000F22D8" w:rsidRDefault="000F22D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3BEB" w:rsidRDefault="0012179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1. </w:t>
            </w:r>
            <w:r w:rsidR="007043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Scomposizioni di polinomi in fattori prim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Riconoscere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nelle forme polinomiali la tipologia di scomposizione e saper scomporre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Operare con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le scomposizioni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applicando le relative proprietà.  MCD e mcm,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condizioni di esistenza al denominatore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,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espressiioni con le frazioni algebriche</w:t>
            </w:r>
            <w:r w:rsidR="000F22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, equazioni di grado superiore al </w:t>
            </w:r>
            <w:r w:rsidR="000F22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lastRenderedPageBreak/>
              <w:t>primo tramite scomposizione di polinomi in fattori e legge di annullamento del prodotto.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Competenze: A,C,D,E</w:t>
            </w:r>
          </w:p>
          <w:p w:rsidR="000F22D8" w:rsidRDefault="000F22D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F22D8" w:rsidRDefault="0012179C" w:rsidP="000F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2. </w:t>
            </w:r>
            <w:r w:rsidR="007043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Equazioni fratte e di grado superiore al primo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Riconoscere 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equazioni fratte con condizioni di esistenza e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sapere operare con ess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e individuando la soluzione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. Riconoscere i</w:t>
            </w:r>
            <w:r w:rsidR="007043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l grado di una equazione, saper risolvere equazioni di secondo grado tramite uso della formula, saper risolvere equazioni di grado superiore al secondo tramite scomposizione di polinomi in fattori primi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</w:t>
            </w:r>
            <w:r w:rsidR="007043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3.Radicali</w:t>
            </w:r>
          </w:p>
          <w:p w:rsidR="000F22D8" w:rsidRDefault="000F22D8" w:rsidP="000F22D8">
            <w:pPr>
              <w:ind w:left="-17" w:hanging="4247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Principali concetti fondanti, ra Radicali qua Radicali aritmetici e algebrici, cenno al concetto di valore assoluto,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operazioni con i radicali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, esponente frazionario.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:A,C,D,E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</w:t>
            </w:r>
            <w:r w:rsidR="00121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 Sistemi lineari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Sistemi e metodi di risoluzione.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Problemi di applicazione. Piano Cartesiano,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le rette nel piano Cartesiano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 A,B,C,D,E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5.Equazioni di secondo grado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Concetto e riconoscimento di equazioni di 2° grado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. Formula risolutiva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. 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scomposizione del trinomio di secondo grado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. Problemi e applicazioni.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:A,C,D,E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6. Disequazioni di secondo grado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 xml:space="preserve">Disequazioni di secondo grado. Disequazioni frazionarie e di grado superiore al secondo. Disequazioni  fratte, disequazioni di grado superiore al secondo. </w:t>
            </w:r>
            <w:r w:rsidR="001E387B"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 xml:space="preserve">Sistemi di disequazioni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 A, C,D;E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</w:pP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7.Equazioni di grado superiore al secondo 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1E387B">
              <w:rPr>
                <w:rFonts w:asciiTheme="minorHAnsi" w:hAnsiTheme="minorHAnsi" w:cstheme="minorHAnsi"/>
                <w:sz w:val="22"/>
                <w:szCs w:val="22"/>
                <w:u w:val="single"/>
                <w:lang w:eastAsia="it-IT"/>
              </w:rPr>
              <w:t>Equazioni binomie, biquadratiche e trinomie. Equazioni che si risolvono tramite scomposizione di polinomi in fattori.</w:t>
            </w:r>
            <w:r w:rsidR="001E387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Sistemi di equazioni di grado superiore al secondo</w:t>
            </w: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</w:t>
            </w:r>
            <w:r w:rsidR="001E387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 C,D,E</w:t>
            </w:r>
          </w:p>
          <w:p w:rsidR="000F22D8" w:rsidRDefault="000F22D8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0F22D8" w:rsidRDefault="001E387B" w:rsidP="000F22D8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8</w:t>
            </w:r>
            <w:r w:rsidR="000F22D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.Geometria Euclidea</w:t>
            </w:r>
          </w:p>
          <w:p w:rsidR="000F22D8" w:rsidRPr="001E387B" w:rsidRDefault="001E387B" w:rsidP="000F22D8">
            <w:pPr>
              <w:ind w:left="4247" w:hanging="4247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Cenno </w:t>
            </w:r>
            <w:r w:rsidRPr="001E387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alla</w:t>
            </w:r>
            <w:r w:rsidR="000F22D8" w:rsidRPr="001E387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circonferenza ed il cerchio, principali teoremi. </w:t>
            </w:r>
            <w:r w:rsidR="000F22D8" w:rsidRPr="001E387B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Competenze :A,B,C,D,E</w:t>
            </w:r>
          </w:p>
          <w:p w:rsidR="002D3BEB" w:rsidRPr="001E387B" w:rsidRDefault="002D3BE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2D3BEB" w:rsidRDefault="002D3BEB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5.Attività o moduli didattici concordati nel CdC a livello interdisciplinare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- Educazione civica</w:t>
            </w:r>
          </w:p>
          <w:p w:rsidR="002D3BEB" w:rsidRDefault="002D3BEB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2D3BEB" w:rsidRDefault="001E387B"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Utilizzo consapevole tel telefonino, rischi della rete, la robotica. Discussione e visione di video sulle varie opinioni riguardanti l’intelligenza artificiali.</w:t>
            </w:r>
          </w:p>
          <w:p w:rsidR="002D3BEB" w:rsidRDefault="002D3BEB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6.Tipologie di verifica, elaborati ed esercitazioni </w:t>
            </w:r>
          </w:p>
          <w:p w:rsidR="002D3BEB" w:rsidRDefault="002D3BEB">
            <w:pPr>
              <w:jc w:val="both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</w:p>
          <w:p w:rsidR="002D3BEB" w:rsidRDefault="0012179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Attraverso vari tipi di prova, quali compiti “tradizionali”, test, prove strutturate e semistrutturate, colloqui orali, questionari, si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è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proced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uto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a verificare sia la conoscenza degli argomenti che le abilità acquisite, nonché il livello di raggiungimento di competenze di ciascun alunno con particolare attenzione a quelle metacognitive. Con anticipo rispetto alla verifica, 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è stato com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unicato agli studenti il suo carattere formativo o sommativo. Le verifiche 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hanno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perme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sso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di valutare anche il grado generale di apprendimento della classe, al fine di intervenire eventualmente per colmare le eventuali carenze.</w:t>
            </w:r>
          </w:p>
          <w:p w:rsidR="002D3BEB" w:rsidRDefault="0012179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In base a quanto stabilito nelle riunioni di area disciplinare, nel corso del primo quadrimestre 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sono state proposte molte ore di esercitazione di recupero come preparazione ai compiti sommativi (almeno 4 )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mentre nel corso del secondo quadrimestre 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sono state svolte più di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tre prove sommative 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sia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in forma scritta 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che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in forma orale.</w:t>
            </w:r>
          </w:p>
          <w:p w:rsidR="002D3BEB" w:rsidRDefault="0012179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 alcuni casi, si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sono inserite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sul registro elettronico come prove orali: prove scritte strutturate in modo da rappresentare attendibilmente prove di tipo orale; controlli orali di tipo “veloce”, da risolversi in una decina di minuti o in mini-interventi nell'arco di più lezioni su definizioni/proprietà/chiarimenti su argomenti concettualmente significativi, l'esecuzione di problemi o esercizi, l’elaborazione rapida del metodo di risoluzione di esercizi o problemi.</w:t>
            </w:r>
          </w:p>
          <w:p w:rsidR="002D3BEB" w:rsidRDefault="0012179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Le valutazioni delle competenze di cittadinanza e degli obiettivi trasversali previsti dal piano di lavoro del docente o del consiglio di classe 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sono state valutate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ad esempio, 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qualità del lavoro in classe (imparare ad imparare), </w:t>
            </w:r>
            <w:r w:rsidR="005021D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puntualità e rispetto delle consegne (ad es. svolgimento dei compiti assegnati a casa, attività non strettamente disciplinari svolte durante l'ora di matematica, riflessione sul proprio lavoro o capacità di sviluppare il proprio processo di apprendimento.</w:t>
            </w:r>
          </w:p>
          <w:p w:rsidR="002D3BEB" w:rsidRDefault="002D3BEB" w:rsidP="005021D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7.Criteri per le valutazioni</w:t>
            </w:r>
          </w:p>
          <w:p w:rsidR="002D3BEB" w:rsidRDefault="002D3BEB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 valutazioni quadrimestrale e finale, partendo fondamentalmente dall’esito medio delle prove fornite nel periodo di riferimento, terranno conto comunque: di un significativo miglioramento rispetto alle condizioni di partenza, della partecipazione al dialogo educativo e dell’interesse mostrato per le attività svolte.</w:t>
            </w:r>
          </w:p>
          <w:p w:rsidR="002D3BEB" w:rsidRDefault="0012179C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L’esito di tutte le prove sarà espresso con un numero decimale da 1 a 10, scaturito, per quel che riguarda le prove scritte, da una griglia di misurazione opportunamente predisposta di volta in volta e descritta agli studenti che tenga conto, come nel caso delle prove orali che il livello di sufficienza è raggiunto quando siano acquisite le conoscenze di base, necessarie per la comprensione dei temi trattati nelle classi successive, e il loro semplice utilizzo. </w:t>
            </w:r>
          </w:p>
          <w:p w:rsidR="002D3BEB" w:rsidRDefault="0012179C">
            <w:pPr>
              <w:ind w:left="360" w:hanging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la valutazione si fa riferimento alla griglia sottostante.</w:t>
            </w: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pPr w:leftFromText="141" w:rightFromText="141" w:vertAnchor="page" w:horzAnchor="margin" w:tblpX="-147" w:tblpY="286"/>
              <w:tblW w:w="10270" w:type="dxa"/>
              <w:tblBorders>
                <w:top w:val="single" w:sz="4" w:space="0" w:color="000001"/>
                <w:left w:val="single" w:sz="4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left w:w="93" w:type="dxa"/>
              </w:tblCellMar>
              <w:tblLook w:val="0000"/>
            </w:tblPr>
            <w:tblGrid>
              <w:gridCol w:w="1556"/>
              <w:gridCol w:w="2482"/>
              <w:gridCol w:w="2480"/>
              <w:gridCol w:w="2480"/>
              <w:gridCol w:w="1272"/>
            </w:tblGrid>
            <w:tr w:rsidR="002D3BEB">
              <w:trPr>
                <w:trHeight w:val="318"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Livello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CONOSCENZE</w:t>
                  </w:r>
                </w:p>
              </w:tc>
              <w:tc>
                <w:tcPr>
                  <w:tcW w:w="2481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ABILITA’</w:t>
                  </w:r>
                </w:p>
              </w:tc>
              <w:tc>
                <w:tcPr>
                  <w:tcW w:w="2481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COMPETENZE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VOTO</w:t>
                  </w:r>
                </w:p>
              </w:tc>
            </w:tr>
            <w:tr w:rsidR="002D3BEB">
              <w:trPr>
                <w:cantSplit/>
                <w:trHeight w:val="606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2D3BEB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442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L’alunno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si rifiuta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di sostenere la prova,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non partecipa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al dialogo educativo</w:t>
                  </w:r>
                </w:p>
              </w:tc>
              <w:tc>
                <w:tcPr>
                  <w:tcW w:w="127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2D3BEB">
              <w:trPr>
                <w:trHeight w:val="606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Gravemente insufficiente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Mancanti o lacunose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sa applicare alcuna regola propria del contesto proposto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sa classificare e organizzare i contenuti, seria difficoltà di esposizione, incapacità di orientarsi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3 - 4</w:t>
                  </w:r>
                </w:p>
              </w:tc>
            </w:tr>
            <w:tr w:rsidR="002D3BEB">
              <w:trPr>
                <w:trHeight w:val="733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Insufficiente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parziali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Commette errori nell’applicare regole, difficoltà ad orientarsi nel contesto proposto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e organizza con qualche difficoltà i vari contenuti, espone in modo incerto e poco appropriato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2D3BEB">
              <w:trPr>
                <w:trHeight w:val="732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Sufficiente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essenziali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gravi e risolve semplici casi, riesce ad orientarsi con l’aiuto del docente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parzialmente e stabilisce semplici connessioni tra argomenti diversi, espressione corretta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2D3BEB">
              <w:trPr>
                <w:trHeight w:val="858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Buono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sicure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o commette errori di lieve entità e risolve semplici casi autonomamente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con correttezza e organizza efficacemente gli argomenti affrontati. Ha sviluppato tutte le competenze valutate, ma per alcune il livello di raggiungimento è solo essenziale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7 - 8</w:t>
                  </w:r>
                </w:p>
              </w:tc>
            </w:tr>
            <w:tr w:rsidR="002D3BEB">
              <w:trPr>
                <w:trHeight w:val="1111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4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Ottimo</w:t>
                  </w:r>
                </w:p>
              </w:tc>
              <w:tc>
                <w:tcPr>
                  <w:tcW w:w="2483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complete e approfondite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e risolve casi più complessi anche con collegamenti intra ed extra-disciplinari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e organizza correttamente i contenuti generalizzandoli ed elaborandoli. Ha sviluppato significativamente tutte le competenze valutate.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D3BEB" w:rsidRDefault="0012179C">
                  <w:pPr>
                    <w:rPr>
                      <w:b/>
                    </w:rPr>
                  </w:pPr>
                  <w:r>
                    <w:rPr>
                      <w:b/>
                    </w:rPr>
                    <w:t>9- 10</w:t>
                  </w:r>
                </w:p>
              </w:tc>
            </w:tr>
          </w:tbl>
          <w:p w:rsidR="002D3BEB" w:rsidRDefault="002D3BEB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BEB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BEB" w:rsidRDefault="0012179C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8.Metodi e strategie didattiche </w:t>
            </w:r>
          </w:p>
          <w:p w:rsidR="002D3BEB" w:rsidRDefault="002D3BE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Ciò che qualifica l’attività del corso è il saper porre e risolvere problemi attraverso modelli logici e di calcolo; l’apprendimento di tale approccio </w:t>
            </w:r>
            <w:r w:rsidR="005021D8">
              <w:rPr>
                <w:rFonts w:ascii="Calibri" w:hAnsi="Calibri"/>
                <w:color w:val="000000"/>
                <w:sz w:val="22"/>
                <w:szCs w:val="22"/>
              </w:rPr>
              <w:t>è passato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attraverso lezioni frontali e interattive (anche alla LIM), esercizi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esemplificativi e analisi dei procedimenti. Una particolare attenzione </w:t>
            </w:r>
            <w:r w:rsidR="005021D8">
              <w:rPr>
                <w:rFonts w:ascii="Calibri" w:hAnsi="Calibri"/>
                <w:color w:val="000000"/>
                <w:sz w:val="22"/>
                <w:szCs w:val="22"/>
              </w:rPr>
              <w:t>è stata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dedicata all'acquisire ed interpretare l’informazione anche fuori dal contesto specifico. Questo </w:t>
            </w:r>
            <w:r w:rsidR="005021D8">
              <w:rPr>
                <w:rFonts w:ascii="Calibri" w:hAnsi="Calibri"/>
                <w:color w:val="000000"/>
                <w:sz w:val="22"/>
                <w:szCs w:val="22"/>
              </w:rPr>
              <w:t>ha favorito, almeno per alcuni,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il mantenimento dell'interesse e soprattutto </w:t>
            </w:r>
            <w:r w:rsidR="005021D8">
              <w:rPr>
                <w:rFonts w:ascii="Calibri" w:hAnsi="Calibri"/>
                <w:color w:val="000000"/>
                <w:sz w:val="22"/>
                <w:szCs w:val="22"/>
              </w:rPr>
              <w:t>della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motivazione </w:t>
            </w:r>
            <w:r w:rsidR="005021D8">
              <w:rPr>
                <w:rFonts w:ascii="Calibri" w:hAnsi="Calibri"/>
                <w:color w:val="000000"/>
                <w:sz w:val="22"/>
                <w:szCs w:val="22"/>
              </w:rPr>
              <w:t xml:space="preserve">per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apprendimento.</w:t>
            </w: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Momenti di problem-solving s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 xml:space="preserve">ono stati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affiancati da altri di sistemazione teorica per inserire i risultati ottenuti in un organico quadro teorico complessivo. Questo 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>ha permesso, per coloro che sono stati attenti e volenterosi di imparare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lo sviluppo delle competenze meta-cognitive (imparare ad imparare) e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 xml:space="preserve"> l’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aument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>o del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percezione dell'unitarietà della disciplina e del suo statuto epistemologico favorendo l'individuazione di collegamenti e relazioni.</w:t>
            </w: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Una particolare rilevanza 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 xml:space="preserve">ha avuto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 discussione di errori, preconcetti e misconcetti quando individuati. Per fare questo è 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>stato  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ecessario che lo studente sia 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 xml:space="preserve">stato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sereno nel confronto con l'insegnante e nei momenti in cui è 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 xml:space="preserve">stato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chiamato alla verifica del proprio processo di apprendimento. 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momenti di correzione alla lavagna o gli interventi dal posto non 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 xml:space="preserve">sono sempre stati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necessariamente  oggetto di verifica. Questo per non inibire gli allievi e poter far emergere i processi che portano a errori/misconcetti e anche per agevolare i momenti di recupero delle carenze in itinere.</w:t>
            </w: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Attività di peer-tutoring o cooperative learning </w:t>
            </w:r>
            <w:r w:rsidR="00412433">
              <w:rPr>
                <w:rFonts w:ascii="Calibri" w:hAnsi="Calibri"/>
                <w:color w:val="000000"/>
                <w:sz w:val="22"/>
                <w:szCs w:val="22"/>
              </w:rPr>
              <w:t>sono stati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realizzati per recupero/potenziamento e anche come momenti di valutazione delle competenze chiave di cittadinanza.</w:t>
            </w:r>
          </w:p>
          <w:p w:rsidR="002D3BEB" w:rsidRDefault="001217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Oltre al libro di testo in adozione potranno essere forniti appunti del docente, documenti multimediali e materiale disponibile sul web.</w:t>
            </w:r>
          </w:p>
          <w:p w:rsidR="002D3BEB" w:rsidRDefault="002D3B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D3BEB" w:rsidRDefault="002D3BE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2D3BEB" w:rsidRDefault="002D3BEB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2"/>
          <w:szCs w:val="22"/>
        </w:rPr>
      </w:pPr>
    </w:p>
    <w:p w:rsidR="002D3BEB" w:rsidRDefault="002D3BEB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2"/>
          <w:szCs w:val="22"/>
        </w:rPr>
      </w:pPr>
    </w:p>
    <w:p w:rsidR="00B92E3B" w:rsidRDefault="0012179C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Pisa li /</w:t>
      </w:r>
      <w:r w:rsidR="00412433">
        <w:rPr>
          <w:rFonts w:ascii="Arial" w:eastAsia="Arial" w:hAnsi="Arial" w:cs="Arial"/>
          <w:sz w:val="20"/>
          <w:szCs w:val="20"/>
        </w:rPr>
        <w:t>06</w:t>
      </w:r>
      <w:r>
        <w:rPr>
          <w:rFonts w:ascii="Arial" w:eastAsia="Arial" w:hAnsi="Arial" w:cs="Arial"/>
          <w:sz w:val="20"/>
          <w:szCs w:val="20"/>
        </w:rPr>
        <w:t>/202</w:t>
      </w:r>
      <w:r w:rsidR="00412433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</w:t>
      </w:r>
    </w:p>
    <w:p w:rsidR="00B92E3B" w:rsidRDefault="00B92E3B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:rsidR="00B92E3B" w:rsidRDefault="0012179C" w:rsidP="00B92E3B">
      <w:pPr>
        <w:tabs>
          <w:tab w:val="center" w:pos="7088"/>
        </w:tabs>
        <w:spacing w:before="100" w:after="100"/>
      </w:pPr>
      <w:r>
        <w:rPr>
          <w:rFonts w:ascii="Arial" w:eastAsia="Arial" w:hAnsi="Arial" w:cs="Arial"/>
          <w:sz w:val="20"/>
          <w:szCs w:val="20"/>
        </w:rPr>
        <w:t xml:space="preserve">   Il docente</w:t>
      </w:r>
      <w:r w:rsidR="00B92E3B">
        <w:rPr>
          <w:rFonts w:ascii="Arial" w:eastAsia="Arial" w:hAnsi="Arial" w:cs="Arial"/>
          <w:sz w:val="20"/>
          <w:szCs w:val="20"/>
        </w:rPr>
        <w:t xml:space="preserve"> Grazia Rossini</w:t>
      </w:r>
    </w:p>
    <w:p w:rsidR="002D3BEB" w:rsidRDefault="002D3BEB">
      <w:pPr>
        <w:tabs>
          <w:tab w:val="center" w:pos="7088"/>
        </w:tabs>
        <w:spacing w:before="100" w:after="100"/>
      </w:pPr>
    </w:p>
    <w:p w:rsidR="002D3BEB" w:rsidRDefault="00412433">
      <w:pPr>
        <w:tabs>
          <w:tab w:val="center" w:pos="7088"/>
        </w:tabs>
        <w:spacing w:before="100" w:after="100"/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B92E3B">
        <w:rPr>
          <w:rFonts w:ascii="Arial" w:eastAsia="Arial" w:hAnsi="Arial" w:cs="Arial"/>
          <w:sz w:val="20"/>
          <w:szCs w:val="20"/>
        </w:rPr>
        <w:t>I rappresentanti di classe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sectPr w:rsidR="002D3BEB" w:rsidSect="002D3BEB">
      <w:pgSz w:w="11906" w:h="16838"/>
      <w:pgMar w:top="426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5B" w:rsidRDefault="00F8785B" w:rsidP="002D3BEB">
      <w:r>
        <w:separator/>
      </w:r>
    </w:p>
  </w:endnote>
  <w:endnote w:type="continuationSeparator" w:id="1">
    <w:p w:rsidR="00F8785B" w:rsidRDefault="00F8785B" w:rsidP="002D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5B" w:rsidRDefault="00F8785B">
      <w:r>
        <w:separator/>
      </w:r>
    </w:p>
  </w:footnote>
  <w:footnote w:type="continuationSeparator" w:id="1">
    <w:p w:rsidR="00F8785B" w:rsidRDefault="00F8785B">
      <w:r>
        <w:continuationSeparator/>
      </w:r>
    </w:p>
  </w:footnote>
  <w:footnote w:id="2">
    <w:p w:rsidR="002D3BEB" w:rsidRDefault="0012179C">
      <w:pPr>
        <w:pStyle w:val="FootnoteText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Fonts w:ascii="Arial" w:hAnsi="Arial"/>
        </w:rPr>
        <w:tab/>
      </w:r>
      <w:r>
        <w:tab/>
        <w:t>Le lettere [A], [B], [C], [D], che non compaiono nel testo normativo, sono state introdotte per poter essere richiamate all'interno delle schede di programmazione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2B8"/>
    <w:multiLevelType w:val="multilevel"/>
    <w:tmpl w:val="B002E472"/>
    <w:lvl w:ilvl="0">
      <w:start w:val="1"/>
      <w:numFmt w:val="bullet"/>
      <w:lvlText w:val=""/>
      <w:lvlJc w:val="left"/>
      <w:pPr>
        <w:ind w:left="69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24D373E9"/>
    <w:multiLevelType w:val="multilevel"/>
    <w:tmpl w:val="192292C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eastAsia="Calibri" w:cs="Calibri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Heading4"/>
      <w:lvlText w:val="%1.%4"/>
      <w:lvlJc w:val="left"/>
      <w:pPr>
        <w:ind w:left="10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A25019E"/>
    <w:multiLevelType w:val="multilevel"/>
    <w:tmpl w:val="8726386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>
    <w:nsid w:val="408D234F"/>
    <w:multiLevelType w:val="multilevel"/>
    <w:tmpl w:val="90B85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BEB"/>
    <w:rsid w:val="0003701B"/>
    <w:rsid w:val="000A6613"/>
    <w:rsid w:val="000F22D8"/>
    <w:rsid w:val="0012179C"/>
    <w:rsid w:val="001E15DE"/>
    <w:rsid w:val="001E387B"/>
    <w:rsid w:val="00204953"/>
    <w:rsid w:val="00296A82"/>
    <w:rsid w:val="002D3BEB"/>
    <w:rsid w:val="003067E3"/>
    <w:rsid w:val="00395325"/>
    <w:rsid w:val="003E20AC"/>
    <w:rsid w:val="00412433"/>
    <w:rsid w:val="00444F30"/>
    <w:rsid w:val="005021D8"/>
    <w:rsid w:val="00556F35"/>
    <w:rsid w:val="00557C56"/>
    <w:rsid w:val="005B31BF"/>
    <w:rsid w:val="00657199"/>
    <w:rsid w:val="007043CE"/>
    <w:rsid w:val="008073D0"/>
    <w:rsid w:val="00875425"/>
    <w:rsid w:val="008B5715"/>
    <w:rsid w:val="008E17CE"/>
    <w:rsid w:val="008F42B9"/>
    <w:rsid w:val="00957D53"/>
    <w:rsid w:val="009940E0"/>
    <w:rsid w:val="00B17CF6"/>
    <w:rsid w:val="00B92E3B"/>
    <w:rsid w:val="00BD081D"/>
    <w:rsid w:val="00C56A8D"/>
    <w:rsid w:val="00CF1F6D"/>
    <w:rsid w:val="00D3442F"/>
    <w:rsid w:val="00D5048B"/>
    <w:rsid w:val="00F2107C"/>
    <w:rsid w:val="00F62121"/>
    <w:rsid w:val="00F8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EB"/>
    <w:pPr>
      <w:suppressAutoHyphens/>
    </w:pPr>
    <w:rPr>
      <w:rFonts w:cs="Calibri"/>
      <w:color w:val="00000A"/>
      <w:sz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9"/>
    <w:qFormat/>
    <w:rsid w:val="002D3BEB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customStyle="1" w:styleId="Heading2">
    <w:name w:val="Heading 2"/>
    <w:basedOn w:val="Normale"/>
    <w:uiPriority w:val="9"/>
    <w:semiHidden/>
    <w:unhideWhenUsed/>
    <w:qFormat/>
    <w:rsid w:val="002D3B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uiPriority w:val="9"/>
    <w:semiHidden/>
    <w:unhideWhenUsed/>
    <w:qFormat/>
    <w:rsid w:val="002D3B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uiPriority w:val="9"/>
    <w:semiHidden/>
    <w:unhideWhenUsed/>
    <w:qFormat/>
    <w:rsid w:val="002D3BEB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customStyle="1" w:styleId="Heading5">
    <w:name w:val="Heading 5"/>
    <w:basedOn w:val="Normale"/>
    <w:uiPriority w:val="9"/>
    <w:semiHidden/>
    <w:unhideWhenUsed/>
    <w:qFormat/>
    <w:rsid w:val="002D3B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uiPriority w:val="9"/>
    <w:semiHidden/>
    <w:unhideWhenUsed/>
    <w:qFormat/>
    <w:rsid w:val="002D3B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2D3BEB"/>
  </w:style>
  <w:style w:type="character" w:customStyle="1" w:styleId="WW8Num1z1">
    <w:name w:val="WW8Num1z1"/>
    <w:qFormat/>
    <w:rsid w:val="002D3BEB"/>
  </w:style>
  <w:style w:type="character" w:customStyle="1" w:styleId="WW8Num1z2">
    <w:name w:val="WW8Num1z2"/>
    <w:qFormat/>
    <w:rsid w:val="002D3BEB"/>
  </w:style>
  <w:style w:type="character" w:customStyle="1" w:styleId="WW8Num1z3">
    <w:name w:val="WW8Num1z3"/>
    <w:qFormat/>
    <w:rsid w:val="002D3BEB"/>
  </w:style>
  <w:style w:type="character" w:customStyle="1" w:styleId="WW8Num1z4">
    <w:name w:val="WW8Num1z4"/>
    <w:qFormat/>
    <w:rsid w:val="002D3BEB"/>
  </w:style>
  <w:style w:type="character" w:customStyle="1" w:styleId="WW8Num1z5">
    <w:name w:val="WW8Num1z5"/>
    <w:qFormat/>
    <w:rsid w:val="002D3BEB"/>
  </w:style>
  <w:style w:type="character" w:customStyle="1" w:styleId="WW8Num1z6">
    <w:name w:val="WW8Num1z6"/>
    <w:qFormat/>
    <w:rsid w:val="002D3BEB"/>
  </w:style>
  <w:style w:type="character" w:customStyle="1" w:styleId="WW8Num1z7">
    <w:name w:val="WW8Num1z7"/>
    <w:qFormat/>
    <w:rsid w:val="002D3BEB"/>
  </w:style>
  <w:style w:type="character" w:customStyle="1" w:styleId="WW8Num1z8">
    <w:name w:val="WW8Num1z8"/>
    <w:qFormat/>
    <w:rsid w:val="002D3BEB"/>
  </w:style>
  <w:style w:type="character" w:customStyle="1" w:styleId="WW8Num2z0">
    <w:name w:val="WW8Num2z0"/>
    <w:qFormat/>
    <w:rsid w:val="002D3BEB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qFormat/>
    <w:rsid w:val="002D3BEB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qFormat/>
    <w:rsid w:val="002D3BEB"/>
  </w:style>
  <w:style w:type="character" w:customStyle="1" w:styleId="WW8Num2z3">
    <w:name w:val="WW8Num2z3"/>
    <w:qFormat/>
    <w:rsid w:val="002D3BEB"/>
  </w:style>
  <w:style w:type="character" w:customStyle="1" w:styleId="WW8Num2z4">
    <w:name w:val="WW8Num2z4"/>
    <w:qFormat/>
    <w:rsid w:val="002D3BEB"/>
  </w:style>
  <w:style w:type="character" w:customStyle="1" w:styleId="WW8Num2z5">
    <w:name w:val="WW8Num2z5"/>
    <w:qFormat/>
    <w:rsid w:val="002D3BEB"/>
  </w:style>
  <w:style w:type="character" w:customStyle="1" w:styleId="WW8Num2z6">
    <w:name w:val="WW8Num2z6"/>
    <w:qFormat/>
    <w:rsid w:val="002D3BEB"/>
  </w:style>
  <w:style w:type="character" w:customStyle="1" w:styleId="WW8Num2z7">
    <w:name w:val="WW8Num2z7"/>
    <w:qFormat/>
    <w:rsid w:val="002D3BEB"/>
  </w:style>
  <w:style w:type="character" w:customStyle="1" w:styleId="WW8Num2z8">
    <w:name w:val="WW8Num2z8"/>
    <w:qFormat/>
    <w:rsid w:val="002D3BEB"/>
  </w:style>
  <w:style w:type="character" w:customStyle="1" w:styleId="WW8Num3z0">
    <w:name w:val="WW8Num3z0"/>
    <w:qFormat/>
    <w:rsid w:val="002D3BEB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qFormat/>
    <w:rsid w:val="002D3BEB"/>
  </w:style>
  <w:style w:type="character" w:customStyle="1" w:styleId="WW8Num4z0">
    <w:name w:val="WW8Num4z0"/>
    <w:qFormat/>
    <w:rsid w:val="002D3BEB"/>
    <w:rPr>
      <w:rFonts w:ascii="Calibri" w:eastAsia="Calibri" w:hAnsi="Calibri" w:cs="Times New Roman"/>
      <w:sz w:val="24"/>
    </w:rPr>
  </w:style>
  <w:style w:type="character" w:customStyle="1" w:styleId="WW8Num4z1">
    <w:name w:val="WW8Num4z1"/>
    <w:qFormat/>
    <w:rsid w:val="002D3BEB"/>
    <w:rPr>
      <w:rFonts w:ascii="Courier New" w:hAnsi="Courier New" w:cs="Courier New"/>
    </w:rPr>
  </w:style>
  <w:style w:type="character" w:customStyle="1" w:styleId="WW8Num4z2">
    <w:name w:val="WW8Num4z2"/>
    <w:qFormat/>
    <w:rsid w:val="002D3BEB"/>
    <w:rPr>
      <w:rFonts w:ascii="Wingdings" w:hAnsi="Wingdings" w:cs="Wingdings"/>
    </w:rPr>
  </w:style>
  <w:style w:type="character" w:customStyle="1" w:styleId="WW8Num4z3">
    <w:name w:val="WW8Num4z3"/>
    <w:qFormat/>
    <w:rsid w:val="002D3BEB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D3BEB"/>
  </w:style>
  <w:style w:type="character" w:customStyle="1" w:styleId="Titolo1Carattere">
    <w:name w:val="Titolo 1 Carattere"/>
    <w:basedOn w:val="Carpredefinitoparagrafo1"/>
    <w:qFormat/>
    <w:rsid w:val="002D3BEB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qFormat/>
    <w:rsid w:val="002D3BEB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qFormat/>
    <w:rsid w:val="002D3BEB"/>
    <w:rPr>
      <w:vertAlign w:val="superscript"/>
    </w:rPr>
  </w:style>
  <w:style w:type="character" w:customStyle="1" w:styleId="Rimandonotaapidipagina1">
    <w:name w:val="Rimando nota a piè di pagina1"/>
    <w:qFormat/>
    <w:rsid w:val="002D3BEB"/>
    <w:rPr>
      <w:vertAlign w:val="superscript"/>
    </w:rPr>
  </w:style>
  <w:style w:type="character" w:customStyle="1" w:styleId="CollegamentoInternet">
    <w:name w:val="Collegamento Internet"/>
    <w:rsid w:val="002D3BEB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qFormat/>
    <w:rsid w:val="002D3BEB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qFormat/>
    <w:rsid w:val="002D3BEB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qFormat/>
    <w:rsid w:val="002D3BEB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qFormat/>
    <w:rsid w:val="002D3BE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stonotaapidipaginaCarattere1">
    <w:name w:val="Testo nota a piè di pagina Carattere1"/>
    <w:link w:val="FootnoteText"/>
    <w:uiPriority w:val="99"/>
    <w:qFormat/>
    <w:rsid w:val="0032683A"/>
    <w:rPr>
      <w:rFonts w:cs="Calibri"/>
      <w:sz w:val="20"/>
      <w:lang w:eastAsia="ar-SA"/>
    </w:rPr>
  </w:style>
  <w:style w:type="character" w:customStyle="1" w:styleId="ListLabel1">
    <w:name w:val="ListLabel 1"/>
    <w:qFormat/>
    <w:rsid w:val="002D3BEB"/>
    <w:rPr>
      <w:rFonts w:eastAsia="Calibri" w:cs="Calibri"/>
      <w:b/>
      <w:sz w:val="22"/>
      <w:szCs w:val="20"/>
    </w:rPr>
  </w:style>
  <w:style w:type="character" w:customStyle="1" w:styleId="ListLabel2">
    <w:name w:val="ListLabel 2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3">
    <w:name w:val="ListLabel 3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sid w:val="002D3BEB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sid w:val="002D3BEB"/>
    <w:rPr>
      <w:rFonts w:eastAsia="Times New Roman" w:cs="Calibri"/>
      <w:b/>
      <w:sz w:val="20"/>
      <w:szCs w:val="20"/>
    </w:rPr>
  </w:style>
  <w:style w:type="character" w:customStyle="1" w:styleId="ListLabel12">
    <w:name w:val="ListLabel 12"/>
    <w:qFormat/>
    <w:rsid w:val="002D3BEB"/>
    <w:rPr>
      <w:rFonts w:cs="Times New Roman"/>
    </w:rPr>
  </w:style>
  <w:style w:type="character" w:customStyle="1" w:styleId="ListLabel13">
    <w:name w:val="ListLabel 13"/>
    <w:qFormat/>
    <w:rsid w:val="002D3BEB"/>
    <w:rPr>
      <w:rFonts w:cs="Times New Roman"/>
    </w:rPr>
  </w:style>
  <w:style w:type="character" w:customStyle="1" w:styleId="ListLabel14">
    <w:name w:val="ListLabel 14"/>
    <w:qFormat/>
    <w:rsid w:val="002D3BEB"/>
    <w:rPr>
      <w:rFonts w:cs="Times New Roman"/>
    </w:rPr>
  </w:style>
  <w:style w:type="character" w:customStyle="1" w:styleId="ListLabel15">
    <w:name w:val="ListLabel 15"/>
    <w:qFormat/>
    <w:rsid w:val="002D3BEB"/>
    <w:rPr>
      <w:rFonts w:cs="Times New Roman"/>
    </w:rPr>
  </w:style>
  <w:style w:type="character" w:customStyle="1" w:styleId="ListLabel16">
    <w:name w:val="ListLabel 16"/>
    <w:qFormat/>
    <w:rsid w:val="002D3BEB"/>
    <w:rPr>
      <w:rFonts w:cs="Times New Roman"/>
    </w:rPr>
  </w:style>
  <w:style w:type="character" w:customStyle="1" w:styleId="ListLabel17">
    <w:name w:val="ListLabel 17"/>
    <w:qFormat/>
    <w:rsid w:val="002D3BEB"/>
    <w:rPr>
      <w:rFonts w:cs="Times New Roman"/>
    </w:rPr>
  </w:style>
  <w:style w:type="character" w:customStyle="1" w:styleId="ListLabel18">
    <w:name w:val="ListLabel 18"/>
    <w:qFormat/>
    <w:rsid w:val="002D3BEB"/>
    <w:rPr>
      <w:rFonts w:cs="Times New Roman"/>
    </w:rPr>
  </w:style>
  <w:style w:type="character" w:customStyle="1" w:styleId="ListLabel19">
    <w:name w:val="ListLabel 19"/>
    <w:qFormat/>
    <w:rsid w:val="002D3BEB"/>
    <w:rPr>
      <w:rFonts w:cs="Times New Roman"/>
    </w:rPr>
  </w:style>
  <w:style w:type="character" w:customStyle="1" w:styleId="ListLabel20">
    <w:name w:val="ListLabel 20"/>
    <w:qFormat/>
    <w:rsid w:val="002D3BEB"/>
    <w:rPr>
      <w:rFonts w:cs="Courier New"/>
    </w:rPr>
  </w:style>
  <w:style w:type="character" w:customStyle="1" w:styleId="ListLabel21">
    <w:name w:val="ListLabel 21"/>
    <w:qFormat/>
    <w:rsid w:val="002D3BEB"/>
    <w:rPr>
      <w:rFonts w:cs="Courier New"/>
    </w:rPr>
  </w:style>
  <w:style w:type="character" w:customStyle="1" w:styleId="ListLabel22">
    <w:name w:val="ListLabel 22"/>
    <w:qFormat/>
    <w:rsid w:val="002D3BEB"/>
    <w:rPr>
      <w:rFonts w:cs="Courier New"/>
    </w:rPr>
  </w:style>
  <w:style w:type="character" w:customStyle="1" w:styleId="ListLabel23">
    <w:name w:val="ListLabel 23"/>
    <w:qFormat/>
    <w:rsid w:val="002D3BEB"/>
    <w:rPr>
      <w:rFonts w:eastAsia="Calibri" w:cs="Calibri"/>
      <w:b/>
      <w:sz w:val="20"/>
      <w:szCs w:val="20"/>
    </w:rPr>
  </w:style>
  <w:style w:type="character" w:customStyle="1" w:styleId="Caratterinotaapidipagina">
    <w:name w:val="Caratteri nota a piè di pagina"/>
    <w:qFormat/>
    <w:rsid w:val="002D3BEB"/>
  </w:style>
  <w:style w:type="character" w:customStyle="1" w:styleId="Richiamoallanotaapidipagina">
    <w:name w:val="Richiamo alla nota a piè di pagina"/>
    <w:rsid w:val="002D3BEB"/>
    <w:rPr>
      <w:vertAlign w:val="superscript"/>
    </w:rPr>
  </w:style>
  <w:style w:type="character" w:customStyle="1" w:styleId="Richiamoallanotadichiusura">
    <w:name w:val="Richiamo alla nota di chiusura"/>
    <w:rsid w:val="002D3BEB"/>
    <w:rPr>
      <w:vertAlign w:val="superscript"/>
    </w:rPr>
  </w:style>
  <w:style w:type="character" w:customStyle="1" w:styleId="Caratterinotadichiusura">
    <w:name w:val="Caratteri nota di chiusura"/>
    <w:qFormat/>
    <w:rsid w:val="002D3BEB"/>
  </w:style>
  <w:style w:type="character" w:customStyle="1" w:styleId="ListLabel24">
    <w:name w:val="ListLabel 24"/>
    <w:qFormat/>
    <w:rsid w:val="002D3BEB"/>
    <w:rPr>
      <w:rFonts w:eastAsia="Calibri" w:cs="Calibri"/>
      <w:b/>
      <w:sz w:val="20"/>
      <w:szCs w:val="20"/>
    </w:rPr>
  </w:style>
  <w:style w:type="character" w:customStyle="1" w:styleId="ListLabel25">
    <w:name w:val="ListLabel 25"/>
    <w:qFormat/>
    <w:rsid w:val="002D3BEB"/>
    <w:rPr>
      <w:rFonts w:ascii="Calibri" w:eastAsia="Calibri" w:hAnsi="Calibri" w:cs="Calibri"/>
      <w:b/>
      <w:sz w:val="22"/>
      <w:szCs w:val="20"/>
    </w:rPr>
  </w:style>
  <w:style w:type="character" w:customStyle="1" w:styleId="ListLabel26">
    <w:name w:val="ListLabel 26"/>
    <w:qFormat/>
    <w:rsid w:val="002D3BEB"/>
    <w:rPr>
      <w:rFonts w:ascii="Calibri" w:hAnsi="Calibri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27">
    <w:name w:val="ListLabel 27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sid w:val="002D3BEB"/>
    <w:rPr>
      <w:rFonts w:ascii="Calibri" w:hAnsi="Calibri" w:cs="Symbol"/>
      <w:sz w:val="22"/>
    </w:rPr>
  </w:style>
  <w:style w:type="character" w:customStyle="1" w:styleId="ListLabel36">
    <w:name w:val="ListLabel 36"/>
    <w:qFormat/>
    <w:rsid w:val="002D3BEB"/>
    <w:rPr>
      <w:rFonts w:cs="Courier New"/>
    </w:rPr>
  </w:style>
  <w:style w:type="character" w:customStyle="1" w:styleId="ListLabel37">
    <w:name w:val="ListLabel 37"/>
    <w:qFormat/>
    <w:rsid w:val="002D3BEB"/>
    <w:rPr>
      <w:rFonts w:cs="Wingdings"/>
    </w:rPr>
  </w:style>
  <w:style w:type="character" w:customStyle="1" w:styleId="ListLabel38">
    <w:name w:val="ListLabel 38"/>
    <w:qFormat/>
    <w:rsid w:val="002D3BEB"/>
    <w:rPr>
      <w:rFonts w:cs="Symbol"/>
    </w:rPr>
  </w:style>
  <w:style w:type="character" w:customStyle="1" w:styleId="ListLabel39">
    <w:name w:val="ListLabel 39"/>
    <w:qFormat/>
    <w:rsid w:val="002D3BEB"/>
    <w:rPr>
      <w:rFonts w:cs="Courier New"/>
    </w:rPr>
  </w:style>
  <w:style w:type="character" w:customStyle="1" w:styleId="ListLabel40">
    <w:name w:val="ListLabel 40"/>
    <w:qFormat/>
    <w:rsid w:val="002D3BEB"/>
    <w:rPr>
      <w:rFonts w:cs="Wingdings"/>
    </w:rPr>
  </w:style>
  <w:style w:type="character" w:customStyle="1" w:styleId="ListLabel41">
    <w:name w:val="ListLabel 41"/>
    <w:qFormat/>
    <w:rsid w:val="002D3BEB"/>
    <w:rPr>
      <w:rFonts w:cs="Symbol"/>
    </w:rPr>
  </w:style>
  <w:style w:type="character" w:customStyle="1" w:styleId="ListLabel42">
    <w:name w:val="ListLabel 42"/>
    <w:qFormat/>
    <w:rsid w:val="002D3BEB"/>
    <w:rPr>
      <w:rFonts w:cs="Courier New"/>
    </w:rPr>
  </w:style>
  <w:style w:type="character" w:customStyle="1" w:styleId="ListLabel43">
    <w:name w:val="ListLabel 43"/>
    <w:qFormat/>
    <w:rsid w:val="002D3BEB"/>
    <w:rPr>
      <w:rFonts w:cs="Wingdings"/>
    </w:rPr>
  </w:style>
  <w:style w:type="character" w:customStyle="1" w:styleId="ListLabel44">
    <w:name w:val="ListLabel 44"/>
    <w:qFormat/>
    <w:rsid w:val="002D3BEB"/>
    <w:rPr>
      <w:rFonts w:eastAsia="Calibri" w:cs="Calibri"/>
      <w:b/>
      <w:sz w:val="20"/>
      <w:szCs w:val="20"/>
    </w:rPr>
  </w:style>
  <w:style w:type="character" w:customStyle="1" w:styleId="ListLabel45">
    <w:name w:val="ListLabel 45"/>
    <w:qFormat/>
    <w:rsid w:val="002D3BEB"/>
    <w:rPr>
      <w:rFonts w:ascii="Calibri" w:eastAsia="Calibri" w:hAnsi="Calibri" w:cs="Calibri"/>
      <w:b/>
      <w:sz w:val="22"/>
      <w:szCs w:val="20"/>
    </w:rPr>
  </w:style>
  <w:style w:type="character" w:customStyle="1" w:styleId="ListLabel46">
    <w:name w:val="ListLabel 46"/>
    <w:qFormat/>
    <w:rsid w:val="002D3BEB"/>
    <w:rPr>
      <w:rFonts w:ascii="Calibri" w:hAnsi="Calibri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47">
    <w:name w:val="ListLabel 47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8">
    <w:name w:val="ListLabel 48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9">
    <w:name w:val="ListLabel 49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sid w:val="002D3BEB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sid w:val="002D3BEB"/>
    <w:rPr>
      <w:rFonts w:ascii="Calibri" w:hAnsi="Calibri" w:cs="Symbol"/>
      <w:sz w:val="22"/>
    </w:rPr>
  </w:style>
  <w:style w:type="character" w:customStyle="1" w:styleId="ListLabel56">
    <w:name w:val="ListLabel 56"/>
    <w:qFormat/>
    <w:rsid w:val="002D3BEB"/>
    <w:rPr>
      <w:rFonts w:cs="Courier New"/>
    </w:rPr>
  </w:style>
  <w:style w:type="character" w:customStyle="1" w:styleId="ListLabel57">
    <w:name w:val="ListLabel 57"/>
    <w:qFormat/>
    <w:rsid w:val="002D3BEB"/>
    <w:rPr>
      <w:rFonts w:cs="Wingdings"/>
    </w:rPr>
  </w:style>
  <w:style w:type="character" w:customStyle="1" w:styleId="ListLabel58">
    <w:name w:val="ListLabel 58"/>
    <w:qFormat/>
    <w:rsid w:val="002D3BEB"/>
    <w:rPr>
      <w:rFonts w:cs="Symbol"/>
    </w:rPr>
  </w:style>
  <w:style w:type="character" w:customStyle="1" w:styleId="ListLabel59">
    <w:name w:val="ListLabel 59"/>
    <w:qFormat/>
    <w:rsid w:val="002D3BEB"/>
    <w:rPr>
      <w:rFonts w:cs="Courier New"/>
    </w:rPr>
  </w:style>
  <w:style w:type="character" w:customStyle="1" w:styleId="ListLabel60">
    <w:name w:val="ListLabel 60"/>
    <w:qFormat/>
    <w:rsid w:val="002D3BEB"/>
    <w:rPr>
      <w:rFonts w:cs="Wingdings"/>
    </w:rPr>
  </w:style>
  <w:style w:type="character" w:customStyle="1" w:styleId="ListLabel61">
    <w:name w:val="ListLabel 61"/>
    <w:qFormat/>
    <w:rsid w:val="002D3BEB"/>
    <w:rPr>
      <w:rFonts w:cs="Symbol"/>
    </w:rPr>
  </w:style>
  <w:style w:type="character" w:customStyle="1" w:styleId="ListLabel62">
    <w:name w:val="ListLabel 62"/>
    <w:qFormat/>
    <w:rsid w:val="002D3BEB"/>
    <w:rPr>
      <w:rFonts w:cs="Courier New"/>
    </w:rPr>
  </w:style>
  <w:style w:type="character" w:customStyle="1" w:styleId="ListLabel63">
    <w:name w:val="ListLabel 63"/>
    <w:qFormat/>
    <w:rsid w:val="002D3BEB"/>
    <w:rPr>
      <w:rFonts w:cs="Wingdings"/>
    </w:rPr>
  </w:style>
  <w:style w:type="paragraph" w:styleId="Titolo">
    <w:name w:val="Title"/>
    <w:basedOn w:val="Normale"/>
    <w:next w:val="Corpodeltesto"/>
    <w:uiPriority w:val="10"/>
    <w:qFormat/>
    <w:rsid w:val="002D3BEB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2D3BEB"/>
    <w:pPr>
      <w:spacing w:after="120"/>
    </w:pPr>
  </w:style>
  <w:style w:type="paragraph" w:styleId="Elenco">
    <w:name w:val="List"/>
    <w:basedOn w:val="Corpodeltesto"/>
    <w:rsid w:val="002D3BEB"/>
    <w:rPr>
      <w:rFonts w:cs="Mangal"/>
    </w:rPr>
  </w:style>
  <w:style w:type="paragraph" w:customStyle="1" w:styleId="Caption">
    <w:name w:val="Caption"/>
    <w:basedOn w:val="Normale"/>
    <w:qFormat/>
    <w:rsid w:val="002D3B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D3BEB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qFormat/>
    <w:rsid w:val="002D3B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2D3B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Text">
    <w:name w:val="Footnote Text"/>
    <w:basedOn w:val="Normale"/>
    <w:link w:val="TestonotaapidipaginaCarattere1"/>
    <w:uiPriority w:val="99"/>
    <w:rsid w:val="002D3BEB"/>
    <w:rPr>
      <w:sz w:val="20"/>
    </w:rPr>
  </w:style>
  <w:style w:type="paragraph" w:customStyle="1" w:styleId="Intestazione1">
    <w:name w:val="Intestazione1"/>
    <w:basedOn w:val="Normale"/>
    <w:qFormat/>
    <w:rsid w:val="002D3BE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2D3BEB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qFormat/>
    <w:rsid w:val="002D3B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D3BEB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2D3BEB"/>
    <w:pPr>
      <w:suppressLineNumbers/>
    </w:pPr>
  </w:style>
  <w:style w:type="paragraph" w:customStyle="1" w:styleId="Intestazionetabella">
    <w:name w:val="Intestazione tabella"/>
    <w:basedOn w:val="Contenutotabella"/>
    <w:qFormat/>
    <w:rsid w:val="002D3BEB"/>
    <w:pPr>
      <w:jc w:val="center"/>
    </w:pPr>
    <w:rPr>
      <w:b/>
      <w:bCs/>
    </w:rPr>
  </w:style>
  <w:style w:type="paragraph" w:styleId="Sottotitolo">
    <w:name w:val="Subtitle"/>
    <w:basedOn w:val="Normale"/>
    <w:uiPriority w:val="11"/>
    <w:qFormat/>
    <w:rsid w:val="002D3B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CB54EF"/>
    <w:rPr>
      <w:color w:val="000000"/>
      <w:sz w:val="24"/>
      <w:szCs w:val="24"/>
    </w:rPr>
  </w:style>
  <w:style w:type="table" w:customStyle="1" w:styleId="TableNormal">
    <w:name w:val="Table Normal"/>
    <w:rsid w:val="002D3BE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D3BE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grazia rossini</cp:lastModifiedBy>
  <cp:revision>8</cp:revision>
  <dcterms:created xsi:type="dcterms:W3CDTF">2024-05-21T09:45:00Z</dcterms:created>
  <dcterms:modified xsi:type="dcterms:W3CDTF">2024-05-22T11:12:00Z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